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98"/>
        <w:gridCol w:w="4574"/>
      </w:tblGrid>
      <w:tr w:rsidR="00640821" w:rsidRPr="00640821" w:rsidTr="00640821">
        <w:trPr>
          <w:trHeight w:val="1275"/>
          <w:tblCellSpacing w:w="0" w:type="dxa"/>
        </w:trPr>
        <w:tc>
          <w:tcPr>
            <w:tcW w:w="0" w:type="auto"/>
            <w:gridSpan w:val="2"/>
            <w:vAlign w:val="center"/>
            <w:hideMark/>
          </w:tcPr>
          <w:p w:rsidR="00640821" w:rsidRPr="00640821" w:rsidRDefault="00640821" w:rsidP="006408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lang w:eastAsia="tr-TR"/>
              </w:rPr>
              <w:t>Metin BOZKURT Kararı (C-303/08 sayılı ve 22/12/2010 tarihli)</w:t>
            </w:r>
          </w:p>
        </w:tc>
      </w:tr>
      <w:tr w:rsidR="00640821" w:rsidRPr="00640821" w:rsidTr="00640821">
        <w:trPr>
          <w:trHeight w:val="285"/>
          <w:tblCellSpacing w:w="0" w:type="dxa"/>
        </w:trPr>
        <w:tc>
          <w:tcPr>
            <w:tcW w:w="3690" w:type="dxa"/>
            <w:hideMark/>
          </w:tcPr>
          <w:p w:rsidR="00640821" w:rsidRPr="00640821" w:rsidRDefault="00640821" w:rsidP="00640821">
            <w:pPr>
              <w:spacing w:after="0" w:line="240" w:lineRule="auto"/>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tc>
        <w:tc>
          <w:tcPr>
            <w:tcW w:w="4245" w:type="dxa"/>
            <w:hideMark/>
          </w:tcPr>
          <w:p w:rsidR="00640821" w:rsidRPr="00640821" w:rsidRDefault="00640821" w:rsidP="00640821">
            <w:pPr>
              <w:spacing w:after="0" w:line="240" w:lineRule="auto"/>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tc>
      </w:tr>
      <w:tr w:rsidR="00640821" w:rsidRPr="00640821" w:rsidTr="00640821">
        <w:trPr>
          <w:trHeight w:val="285"/>
          <w:tblCellSpacing w:w="0" w:type="dxa"/>
        </w:trPr>
        <w:tc>
          <w:tcPr>
            <w:tcW w:w="0" w:type="auto"/>
            <w:hideMark/>
          </w:tcPr>
          <w:p w:rsidR="00640821" w:rsidRPr="00640821" w:rsidRDefault="00640821" w:rsidP="00640821">
            <w:pPr>
              <w:spacing w:after="0" w:line="240" w:lineRule="auto"/>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tc>
        <w:tc>
          <w:tcPr>
            <w:tcW w:w="0" w:type="auto"/>
            <w:vAlign w:val="center"/>
            <w:hideMark/>
          </w:tcPr>
          <w:p w:rsidR="00640821" w:rsidRPr="00640821" w:rsidRDefault="00640821" w:rsidP="00640821">
            <w:pPr>
              <w:spacing w:after="0" w:line="240" w:lineRule="auto"/>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tc>
      </w:tr>
      <w:tr w:rsidR="00640821" w:rsidRPr="00640821" w:rsidTr="00640821">
        <w:trPr>
          <w:tblCellSpacing w:w="0" w:type="dxa"/>
        </w:trPr>
        <w:tc>
          <w:tcPr>
            <w:tcW w:w="0" w:type="auto"/>
            <w:gridSpan w:val="2"/>
            <w:vAlign w:val="center"/>
            <w:hideMark/>
          </w:tcPr>
          <w:p w:rsidR="00640821" w:rsidRPr="00640821" w:rsidRDefault="00640821" w:rsidP="00640821">
            <w:pPr>
              <w:spacing w:beforeAutospacing="1" w:after="100" w:afterAutospacing="1"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u w:val="single"/>
                <w:lang w:eastAsia="tr-TR"/>
              </w:rPr>
              <w:t>Dava Konusu:</w:t>
            </w:r>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lang w:eastAsia="tr-TR"/>
              </w:rPr>
              <w:t> </w:t>
            </w:r>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40821">
              <w:rPr>
                <w:rFonts w:ascii="Times New Roman" w:eastAsia="Times New Roman" w:hAnsi="Times New Roman" w:cs="Times New Roman"/>
                <w:sz w:val="24"/>
                <w:szCs w:val="24"/>
                <w:lang w:eastAsia="tr-TR"/>
              </w:rPr>
              <w:t xml:space="preserve">Ön karar talebi – Federal İdare Mahkemesi – Avrupa Ekonomik Topluluğu ile Türkiye arasındaki ortaklığın geliştirilmesi konulu 19 Eylül 1980 tarih ve 1/80 sayılı </w:t>
            </w:r>
            <w:proofErr w:type="spellStart"/>
            <w:r w:rsidRPr="00640821">
              <w:rPr>
                <w:rFonts w:ascii="Times New Roman" w:eastAsia="Times New Roman" w:hAnsi="Times New Roman" w:cs="Times New Roman"/>
                <w:sz w:val="24"/>
                <w:szCs w:val="24"/>
                <w:lang w:eastAsia="tr-TR"/>
              </w:rPr>
              <w:t>OKK’nin</w:t>
            </w:r>
            <w:proofErr w:type="spellEnd"/>
            <w:r w:rsidRPr="00640821">
              <w:rPr>
                <w:rFonts w:ascii="Times New Roman" w:eastAsia="Times New Roman" w:hAnsi="Times New Roman" w:cs="Times New Roman"/>
                <w:sz w:val="24"/>
                <w:szCs w:val="24"/>
                <w:lang w:eastAsia="tr-TR"/>
              </w:rPr>
              <w:t xml:space="preserve"> 7. maddesi, 1. fıkrası, 2. bendine ilişkin yorum – Bir Türk vatandaşının, bir üye devletin yasal iş piyasasına dâhil olan kadın Türk çalışanla evli olması sebebiyle kazandığı ikamet hakkı – Eski eşe karşı adam yaralama suçu işlenmiş ve suçun cezai hükme bağlanmış olması halinde, ikamet hakkının boşanma gerçekleşmesi durumunda devam etmesi.</w:t>
            </w:r>
            <w:proofErr w:type="gramEnd"/>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w:t>
            </w:r>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640821">
              <w:rPr>
                <w:rFonts w:ascii="Times New Roman" w:eastAsia="Times New Roman" w:hAnsi="Times New Roman" w:cs="Times New Roman"/>
                <w:b/>
                <w:bCs/>
                <w:sz w:val="24"/>
                <w:szCs w:val="24"/>
                <w:u w:val="single"/>
                <w:lang w:eastAsia="tr-TR"/>
              </w:rPr>
              <w:t>ABAD’ın</w:t>
            </w:r>
            <w:proofErr w:type="spellEnd"/>
            <w:r w:rsidRPr="00640821">
              <w:rPr>
                <w:rFonts w:ascii="Times New Roman" w:eastAsia="Times New Roman" w:hAnsi="Times New Roman" w:cs="Times New Roman"/>
                <w:b/>
                <w:bCs/>
                <w:sz w:val="24"/>
                <w:szCs w:val="24"/>
                <w:u w:val="single"/>
                <w:lang w:eastAsia="tr-TR"/>
              </w:rPr>
              <w:t xml:space="preserve"> Kararı:</w:t>
            </w:r>
          </w:p>
          <w:p w:rsidR="00640821" w:rsidRPr="00640821" w:rsidRDefault="00640821" w:rsidP="0064082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lang w:eastAsia="tr-TR"/>
              </w:rPr>
              <w:t> </w:t>
            </w:r>
          </w:p>
          <w:p w:rsidR="00640821" w:rsidRPr="00640821" w:rsidRDefault="00640821" w:rsidP="00640821">
            <w:pPr>
              <w:spacing w:after="0" w:line="240" w:lineRule="auto"/>
              <w:ind w:left="1080" w:hanging="360"/>
              <w:jc w:val="both"/>
              <w:rPr>
                <w:rFonts w:ascii="Times New Roman" w:eastAsia="Times New Roman" w:hAnsi="Times New Roman" w:cs="Times New Roman"/>
                <w:sz w:val="24"/>
                <w:szCs w:val="24"/>
                <w:lang w:eastAsia="tr-TR"/>
              </w:rPr>
            </w:pPr>
            <w:proofErr w:type="gramStart"/>
            <w:r w:rsidRPr="00640821">
              <w:rPr>
                <w:rFonts w:ascii="Times New Roman" w:eastAsia="Times New Roman" w:hAnsi="Times New Roman" w:cs="Times New Roman"/>
                <w:sz w:val="24"/>
                <w:szCs w:val="24"/>
                <w:lang w:eastAsia="tr-TR"/>
              </w:rPr>
              <w:t>1.</w:t>
            </w:r>
            <w:r w:rsidRPr="00640821">
              <w:rPr>
                <w:rFonts w:ascii="Times New Roman" w:eastAsia="Times New Roman" w:hAnsi="Times New Roman" w:cs="Times New Roman"/>
                <w:sz w:val="14"/>
                <w:szCs w:val="14"/>
                <w:lang w:eastAsia="tr-TR"/>
              </w:rPr>
              <w:t xml:space="preserve">      </w:t>
            </w:r>
            <w:r w:rsidRPr="00640821">
              <w:rPr>
                <w:rFonts w:ascii="Times New Roman" w:eastAsia="Times New Roman" w:hAnsi="Times New Roman" w:cs="Times New Roman"/>
                <w:sz w:val="24"/>
                <w:szCs w:val="24"/>
                <w:lang w:eastAsia="tr-TR"/>
              </w:rPr>
              <w:t xml:space="preserve">Avrupa Ekonomik Topluluğu ile Türkiye arasında ortaklığın tesis edilmesi amacıyla kurulan Ortaklık Konseyi tarafından alınan 19 Eylül 1980 tarih ve 1/80 sayılı kararın 7. maddesi, 1. fıkrası şöyle yorumlanmalıdır: bir üye devletin yasal iş piyasasına mensup bir kadın Türk çalışanın aile bireyi olarak, resmi ikametgâhının beş yıl boyunca söz konusu kadın çalışanın yanında bulunması sebebiyle 1/80 sayılı </w:t>
            </w:r>
            <w:proofErr w:type="spellStart"/>
            <w:r w:rsidRPr="00640821">
              <w:rPr>
                <w:rFonts w:ascii="Times New Roman" w:eastAsia="Times New Roman" w:hAnsi="Times New Roman" w:cs="Times New Roman"/>
                <w:sz w:val="24"/>
                <w:szCs w:val="24"/>
                <w:lang w:eastAsia="tr-TR"/>
              </w:rPr>
              <w:t>OKK’nin</w:t>
            </w:r>
            <w:proofErr w:type="spellEnd"/>
            <w:r w:rsidRPr="00640821">
              <w:rPr>
                <w:rFonts w:ascii="Times New Roman" w:eastAsia="Times New Roman" w:hAnsi="Times New Roman" w:cs="Times New Roman"/>
                <w:sz w:val="24"/>
                <w:szCs w:val="24"/>
                <w:lang w:eastAsia="tr-TR"/>
              </w:rPr>
              <w:t xml:space="preserve"> 7. maddesi, 1. fıkrası, 2. bendinde belirtilen haklara sahip olan, asıl davanın davacısı gibi bir Türk vatandaşı, söz konusu hakları kazandıktan sonra verilen bir boşanma kararından dolayı bu haklarını kaybetmez. </w:t>
            </w:r>
            <w:proofErr w:type="gramEnd"/>
          </w:p>
          <w:p w:rsidR="00640821" w:rsidRPr="00640821" w:rsidRDefault="00640821" w:rsidP="00640821">
            <w:pPr>
              <w:spacing w:after="0" w:line="240" w:lineRule="auto"/>
              <w:ind w:left="1080"/>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lang w:eastAsia="tr-TR"/>
              </w:rPr>
              <w:t> </w:t>
            </w:r>
          </w:p>
          <w:p w:rsidR="00640821" w:rsidRPr="00640821" w:rsidRDefault="00640821" w:rsidP="00640821">
            <w:pPr>
              <w:spacing w:after="0" w:line="240" w:lineRule="auto"/>
              <w:ind w:left="1080" w:hanging="360"/>
              <w:jc w:val="both"/>
              <w:rPr>
                <w:rFonts w:ascii="Times New Roman" w:eastAsia="Times New Roman" w:hAnsi="Times New Roman" w:cs="Times New Roman"/>
                <w:sz w:val="24"/>
                <w:szCs w:val="24"/>
                <w:lang w:eastAsia="tr-TR"/>
              </w:rPr>
            </w:pPr>
            <w:proofErr w:type="gramStart"/>
            <w:r w:rsidRPr="00640821">
              <w:rPr>
                <w:rFonts w:ascii="Times New Roman" w:eastAsia="Times New Roman" w:hAnsi="Times New Roman" w:cs="Times New Roman"/>
                <w:sz w:val="24"/>
                <w:szCs w:val="24"/>
                <w:lang w:eastAsia="tr-TR"/>
              </w:rPr>
              <w:t>2.</w:t>
            </w:r>
            <w:r w:rsidRPr="00640821">
              <w:rPr>
                <w:rFonts w:ascii="Times New Roman" w:eastAsia="Times New Roman" w:hAnsi="Times New Roman" w:cs="Times New Roman"/>
                <w:sz w:val="14"/>
                <w:szCs w:val="14"/>
                <w:lang w:eastAsia="tr-TR"/>
              </w:rPr>
              <w:t xml:space="preserve">      </w:t>
            </w:r>
            <w:r w:rsidRPr="00640821">
              <w:rPr>
                <w:rFonts w:ascii="Times New Roman" w:eastAsia="Times New Roman" w:hAnsi="Times New Roman" w:cs="Times New Roman"/>
                <w:sz w:val="24"/>
                <w:szCs w:val="24"/>
                <w:lang w:eastAsia="tr-TR"/>
              </w:rPr>
              <w:t xml:space="preserve">Asıl davanın davacısı gibi bir Türk vatandaşının, 1/80 sayılı </w:t>
            </w:r>
            <w:proofErr w:type="spellStart"/>
            <w:r w:rsidRPr="00640821">
              <w:rPr>
                <w:rFonts w:ascii="Times New Roman" w:eastAsia="Times New Roman" w:hAnsi="Times New Roman" w:cs="Times New Roman"/>
                <w:sz w:val="24"/>
                <w:szCs w:val="24"/>
                <w:lang w:eastAsia="tr-TR"/>
              </w:rPr>
              <w:t>OKK’nin</w:t>
            </w:r>
            <w:proofErr w:type="spellEnd"/>
            <w:r w:rsidRPr="00640821">
              <w:rPr>
                <w:rFonts w:ascii="Times New Roman" w:eastAsia="Times New Roman" w:hAnsi="Times New Roman" w:cs="Times New Roman"/>
                <w:sz w:val="24"/>
                <w:szCs w:val="24"/>
                <w:lang w:eastAsia="tr-TR"/>
              </w:rPr>
              <w:t xml:space="preserve"> 7. maddesi, 1. fıkrası uyarınca meşru bir şekilde kazanılan hakka istinaden temyize gitmesi, ilgili kişi söz konusu hakkı eski eşinden dolayı aldıktan sonra, eşine karşı cezai hükme bağlanan ağır bir suç işlese de, hakkın kötüye kullanılması anlamına gelmez.</w:t>
            </w:r>
            <w:proofErr w:type="gramEnd"/>
          </w:p>
          <w:p w:rsidR="00640821" w:rsidRPr="00640821" w:rsidRDefault="00640821" w:rsidP="00640821">
            <w:pPr>
              <w:spacing w:after="0" w:line="240" w:lineRule="auto"/>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b/>
                <w:bCs/>
                <w:sz w:val="24"/>
                <w:szCs w:val="24"/>
                <w:lang w:eastAsia="tr-TR"/>
              </w:rPr>
              <w:t> </w:t>
            </w:r>
          </w:p>
          <w:p w:rsidR="00640821" w:rsidRPr="00640821" w:rsidRDefault="00640821" w:rsidP="00640821">
            <w:pPr>
              <w:spacing w:after="100" w:line="240" w:lineRule="auto"/>
              <w:ind w:left="1080"/>
              <w:jc w:val="both"/>
              <w:rPr>
                <w:rFonts w:ascii="Times New Roman" w:eastAsia="Times New Roman" w:hAnsi="Times New Roman" w:cs="Times New Roman"/>
                <w:sz w:val="24"/>
                <w:szCs w:val="24"/>
                <w:lang w:eastAsia="tr-TR"/>
              </w:rPr>
            </w:pPr>
            <w:r w:rsidRPr="00640821">
              <w:rPr>
                <w:rFonts w:ascii="Times New Roman" w:eastAsia="Times New Roman" w:hAnsi="Times New Roman" w:cs="Times New Roman"/>
                <w:sz w:val="24"/>
                <w:szCs w:val="24"/>
                <w:lang w:eastAsia="tr-TR"/>
              </w:rPr>
              <w:t xml:space="preserve">Ancak 1/80 sayılı </w:t>
            </w:r>
            <w:proofErr w:type="spellStart"/>
            <w:r w:rsidRPr="00640821">
              <w:rPr>
                <w:rFonts w:ascii="Times New Roman" w:eastAsia="Times New Roman" w:hAnsi="Times New Roman" w:cs="Times New Roman"/>
                <w:sz w:val="24"/>
                <w:szCs w:val="24"/>
                <w:lang w:eastAsia="tr-TR"/>
              </w:rPr>
              <w:t>OKK’nın</w:t>
            </w:r>
            <w:proofErr w:type="spellEnd"/>
            <w:r w:rsidRPr="00640821">
              <w:rPr>
                <w:rFonts w:ascii="Times New Roman" w:eastAsia="Times New Roman" w:hAnsi="Times New Roman" w:cs="Times New Roman"/>
                <w:sz w:val="24"/>
                <w:szCs w:val="24"/>
                <w:lang w:eastAsia="tr-TR"/>
              </w:rPr>
              <w:t xml:space="preserve"> 14. maddesi 1. fıkrası, cezai hüküm giyen ve kişisel davranışları toplumun temel bir menfaatine yönelik mevcut, gerçek ve yeterince ağır tehdit oluşturan bir Türk vatandaşının sınır dışı edilmesine engel teşkil etmez. Asıl davada böyle bir durumun söz konusu olup olmadığı saptamak ilgili ulusal mahkemenin görevidir. </w:t>
            </w:r>
          </w:p>
        </w:tc>
      </w:tr>
    </w:tbl>
    <w:p w:rsidR="0013065B" w:rsidRDefault="0013065B">
      <w:bookmarkStart w:id="0" w:name="_GoBack"/>
      <w:bookmarkEnd w:id="0"/>
    </w:p>
    <w:sectPr w:rsidR="00130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93"/>
    <w:rsid w:val="0013065B"/>
    <w:rsid w:val="00200993"/>
    <w:rsid w:val="00640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4915-A6C2-4478-9985-BDA339B3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08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08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94668">
      <w:bodyDiv w:val="1"/>
      <w:marLeft w:val="0"/>
      <w:marRight w:val="0"/>
      <w:marTop w:val="0"/>
      <w:marBottom w:val="0"/>
      <w:divBdr>
        <w:top w:val="none" w:sz="0" w:space="0" w:color="auto"/>
        <w:left w:val="none" w:sz="0" w:space="0" w:color="auto"/>
        <w:bottom w:val="none" w:sz="0" w:space="0" w:color="auto"/>
        <w:right w:val="none" w:sz="0" w:space="0" w:color="auto"/>
      </w:divBdr>
      <w:divsChild>
        <w:div w:id="545527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467798">
      <w:bodyDiv w:val="1"/>
      <w:marLeft w:val="0"/>
      <w:marRight w:val="0"/>
      <w:marTop w:val="0"/>
      <w:marBottom w:val="0"/>
      <w:divBdr>
        <w:top w:val="none" w:sz="0" w:space="0" w:color="auto"/>
        <w:left w:val="none" w:sz="0" w:space="0" w:color="auto"/>
        <w:bottom w:val="none" w:sz="0" w:space="0" w:color="auto"/>
        <w:right w:val="none" w:sz="0" w:space="0" w:color="auto"/>
      </w:divBdr>
      <w:divsChild>
        <w:div w:id="178272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2018-02-07T08:49:00Z</dcterms:created>
  <dcterms:modified xsi:type="dcterms:W3CDTF">2018-02-07T08:49:00Z</dcterms:modified>
</cp:coreProperties>
</file>