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9778" w:tblpY="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7D0439" w:rsidRPr="007D0439" w:rsidTr="007D0439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D0439" w:rsidRPr="007D0439" w:rsidRDefault="007D0439" w:rsidP="007D04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bookmarkStart w:id="0" w:name="_Toc368635597"/>
            <w:r w:rsidRPr="007D0439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REFERANS NUMARASI</w:t>
            </w:r>
          </w:p>
        </w:tc>
      </w:tr>
      <w:tr w:rsidR="007D0439" w:rsidRPr="007D0439" w:rsidTr="007D0439">
        <w:trPr>
          <w:trHeight w:val="56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439" w:rsidRPr="007D0439" w:rsidRDefault="007D0439" w:rsidP="007D0439">
            <w:pPr>
              <w:tabs>
                <w:tab w:val="center" w:pos="4536"/>
                <w:tab w:val="right" w:pos="9072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tr-TR"/>
              </w:rPr>
            </w:pPr>
          </w:p>
        </w:tc>
      </w:tr>
    </w:tbl>
    <w:p w:rsidR="00526C42" w:rsidRPr="007D0439" w:rsidRDefault="00B53D7E" w:rsidP="00B53D7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2"/>
          <w:lang w:eastAsia="tr-TR"/>
        </w:rPr>
        <w:drawing>
          <wp:anchor distT="0" distB="0" distL="114300" distR="114300" simplePos="0" relativeHeight="251658240" behindDoc="1" locked="0" layoutInCell="1" allowOverlap="1" wp14:anchorId="78076220" wp14:editId="4E4C6D05">
            <wp:simplePos x="0" y="0"/>
            <wp:positionH relativeFrom="column">
              <wp:posOffset>-128905</wp:posOffset>
            </wp:positionH>
            <wp:positionV relativeFrom="paragraph">
              <wp:posOffset>1905</wp:posOffset>
            </wp:positionV>
            <wp:extent cx="9525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168" y="21086"/>
                <wp:lineTo x="21168" y="0"/>
                <wp:lineTo x="0" y="0"/>
              </wp:wrapPolygon>
            </wp:wrapThrough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C42" w:rsidRPr="007D0439">
        <w:rPr>
          <w:rFonts w:ascii="Times New Roman" w:hAnsi="Times New Roman" w:cs="Times New Roman"/>
          <w:b/>
        </w:rPr>
        <w:t>T.C.</w:t>
      </w:r>
    </w:p>
    <w:p w:rsidR="007D0439" w:rsidRPr="007D0439" w:rsidRDefault="00526C42" w:rsidP="00B53D7E">
      <w:pPr>
        <w:tabs>
          <w:tab w:val="left" w:pos="1418"/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D0439">
        <w:rPr>
          <w:rFonts w:ascii="Times New Roman" w:hAnsi="Times New Roman" w:cs="Times New Roman"/>
          <w:b/>
        </w:rPr>
        <w:t>AİLE</w:t>
      </w:r>
      <w:r w:rsidR="00B53D7E">
        <w:rPr>
          <w:rFonts w:ascii="Times New Roman" w:hAnsi="Times New Roman" w:cs="Times New Roman"/>
          <w:b/>
        </w:rPr>
        <w:t>, ÇALIŞMA</w:t>
      </w:r>
      <w:r w:rsidRPr="007D0439">
        <w:rPr>
          <w:rFonts w:ascii="Times New Roman" w:hAnsi="Times New Roman" w:cs="Times New Roman"/>
          <w:b/>
        </w:rPr>
        <w:t xml:space="preserve"> VE SOSYAL </w:t>
      </w:r>
      <w:r w:rsidR="00B53D7E">
        <w:rPr>
          <w:rFonts w:ascii="Times New Roman" w:hAnsi="Times New Roman" w:cs="Times New Roman"/>
          <w:b/>
        </w:rPr>
        <w:t>HİZMETLER</w:t>
      </w:r>
      <w:r w:rsidRPr="007D0439">
        <w:rPr>
          <w:rFonts w:ascii="Times New Roman" w:hAnsi="Times New Roman" w:cs="Times New Roman"/>
          <w:b/>
        </w:rPr>
        <w:t xml:space="preserve"> BAKANLIĞI</w:t>
      </w:r>
    </w:p>
    <w:p w:rsidR="00526C42" w:rsidRPr="007D0439" w:rsidRDefault="00526C42" w:rsidP="00B53D7E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D0439">
        <w:rPr>
          <w:rFonts w:ascii="Times New Roman" w:hAnsi="Times New Roman" w:cs="Times New Roman"/>
          <w:b/>
        </w:rPr>
        <w:t>İç Denetim Başkanlığı</w:t>
      </w:r>
    </w:p>
    <w:p w:rsidR="00D97195" w:rsidRPr="00E83851" w:rsidRDefault="007D0439" w:rsidP="007D0439">
      <w:pPr>
        <w:pStyle w:val="Balk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</w:t>
      </w:r>
      <w:r w:rsidR="00D97195" w:rsidRPr="00E83851">
        <w:rPr>
          <w:rFonts w:ascii="Times New Roman" w:hAnsi="Times New Roman" w:cs="Times New Roman"/>
          <w:color w:val="auto"/>
        </w:rPr>
        <w:t xml:space="preserve">DENETİM DEĞERLENDİRME </w:t>
      </w:r>
      <w:r>
        <w:rPr>
          <w:rFonts w:ascii="Times New Roman" w:hAnsi="Times New Roman" w:cs="Times New Roman"/>
          <w:color w:val="auto"/>
        </w:rPr>
        <w:t>F</w:t>
      </w:r>
      <w:r w:rsidR="00D97195" w:rsidRPr="00E83851">
        <w:rPr>
          <w:rFonts w:ascii="Times New Roman" w:hAnsi="Times New Roman" w:cs="Times New Roman"/>
          <w:color w:val="auto"/>
        </w:rPr>
        <w:t>ORMU</w:t>
      </w:r>
      <w:bookmarkEnd w:id="0"/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6"/>
        <w:gridCol w:w="786"/>
        <w:gridCol w:w="702"/>
        <w:gridCol w:w="730"/>
      </w:tblGrid>
      <w:tr w:rsidR="00D975E1" w:rsidRPr="00D97195" w:rsidTr="00070C75">
        <w:trPr>
          <w:trHeight w:val="554"/>
        </w:trPr>
        <w:tc>
          <w:tcPr>
            <w:tcW w:w="3879" w:type="pct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245DF2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DEĞERLENDİRME KRİTERİ</w:t>
            </w:r>
          </w:p>
        </w:tc>
        <w:tc>
          <w:tcPr>
            <w:tcW w:w="397" w:type="pct"/>
            <w:tcBorders>
              <w:top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245DF2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Zayıf</w:t>
            </w:r>
          </w:p>
        </w:tc>
        <w:tc>
          <w:tcPr>
            <w:tcW w:w="355" w:type="pct"/>
            <w:tcBorders>
              <w:top w:val="double" w:sz="4" w:space="0" w:color="auto"/>
              <w:bottom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070C75">
            <w:pPr>
              <w:spacing w:after="0"/>
              <w:ind w:right="-108" w:hanging="93"/>
              <w:jc w:val="center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Orta</w:t>
            </w:r>
          </w:p>
        </w:tc>
        <w:tc>
          <w:tcPr>
            <w:tcW w:w="369" w:type="pct"/>
            <w:tcBorders>
              <w:top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97195" w:rsidRPr="00E83851" w:rsidRDefault="00D97195" w:rsidP="00245DF2">
            <w:pPr>
              <w:spacing w:after="0"/>
              <w:ind w:left="27" w:firstLine="26"/>
              <w:rPr>
                <w:rFonts w:ascii="Times New Roman" w:hAnsi="Times New Roman" w:cs="Times New Roman"/>
                <w:b/>
                <w:bCs/>
                <w:iCs/>
                <w:szCs w:val="18"/>
              </w:rPr>
            </w:pPr>
            <w:r w:rsidRPr="00E83851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İyi</w:t>
            </w:r>
          </w:p>
        </w:tc>
      </w:tr>
      <w:tr w:rsidR="004A135E" w:rsidRPr="00D97195" w:rsidTr="00070C75">
        <w:trPr>
          <w:trHeight w:val="585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1.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ekibinin genel iletişim düzeyi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70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2.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Denetimin biriminizdeki sorunlu alanları kapsama düzeyi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0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3.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Denetimle ilgili bilgilerin açılış toplantısında açıklanma düzeyi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58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4.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alanlarına ilişkin önerilerinizin dikkate alınma düzeyi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2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5.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süresince tespit edilen sorunların ve risklerin paylaşım </w:t>
            </w:r>
            <w:r w:rsidR="00D975E1">
              <w:rPr>
                <w:rFonts w:ascii="Times New Roman" w:hAnsi="Times New Roman" w:cs="Times New Roman"/>
                <w:bCs/>
                <w:iCs/>
                <w:szCs w:val="18"/>
              </w:rPr>
              <w:t>d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>üzeyi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60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6.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raporlarının zamanlılığı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4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7.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tespitlerinin doğruluğu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62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8.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tavsiyelerinin uygulanabilirliği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4A135E" w:rsidRPr="00D97195" w:rsidTr="00070C75">
        <w:trPr>
          <w:trHeight w:val="556"/>
        </w:trPr>
        <w:tc>
          <w:tcPr>
            <w:tcW w:w="3879" w:type="pct"/>
            <w:tcBorders>
              <w:lef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9.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Denetim raporunun anlaşılırlığı</w:t>
            </w:r>
          </w:p>
        </w:tc>
        <w:tc>
          <w:tcPr>
            <w:tcW w:w="397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97195" w:rsidRPr="00D97195" w:rsidTr="00070C75">
        <w:trPr>
          <w:trHeight w:val="550"/>
        </w:trPr>
        <w:tc>
          <w:tcPr>
            <w:tcW w:w="387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1512EF">
            <w:pPr>
              <w:spacing w:after="200"/>
              <w:rPr>
                <w:rFonts w:ascii="Times New Roman" w:hAnsi="Times New Roman" w:cs="Times New Roman"/>
                <w:bCs/>
                <w:iCs/>
                <w:szCs w:val="18"/>
              </w:rPr>
            </w:pPr>
            <w:r w:rsidRPr="001512EF">
              <w:rPr>
                <w:rFonts w:ascii="Times New Roman" w:hAnsi="Times New Roman" w:cs="Times New Roman"/>
                <w:b/>
                <w:bCs/>
                <w:iCs/>
                <w:szCs w:val="18"/>
              </w:rPr>
              <w:t>10.</w:t>
            </w:r>
            <w:r w:rsidRPr="00D97195">
              <w:rPr>
                <w:rFonts w:ascii="Times New Roman" w:hAnsi="Times New Roman" w:cs="Times New Roman"/>
                <w:bCs/>
                <w:iCs/>
                <w:szCs w:val="18"/>
              </w:rPr>
              <w:t xml:space="preserve"> Faaliyet ve kontrollerin gelişiminde denetimlerin faydası</w:t>
            </w:r>
          </w:p>
        </w:tc>
        <w:tc>
          <w:tcPr>
            <w:tcW w:w="39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97195" w:rsidRPr="00D97195" w:rsidRDefault="00D97195" w:rsidP="00245DF2">
            <w:pPr>
              <w:spacing w:after="20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0E38EB" w:rsidRPr="00D97195" w:rsidRDefault="000E38EB">
      <w:pPr>
        <w:rPr>
          <w:rFonts w:ascii="Times New Roman" w:hAnsi="Times New Roman" w:cs="Times New Roman"/>
        </w:rPr>
      </w:pPr>
    </w:p>
    <w:p w:rsidR="00D97195" w:rsidRPr="00B53D7E" w:rsidRDefault="00D53D00" w:rsidP="00D53D00">
      <w:pPr>
        <w:spacing w:after="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3D7E">
        <w:rPr>
          <w:rFonts w:ascii="Times New Roman" w:hAnsi="Times New Roman" w:cs="Times New Roman"/>
          <w:b/>
        </w:rPr>
        <w:t>Adı Soyadı</w:t>
      </w:r>
    </w:p>
    <w:p w:rsidR="00D53D00" w:rsidRPr="00B53D7E" w:rsidRDefault="00D53D00" w:rsidP="00D53D00">
      <w:pPr>
        <w:spacing w:after="0"/>
        <w:rPr>
          <w:rFonts w:ascii="Times New Roman" w:hAnsi="Times New Roman" w:cs="Times New Roman"/>
          <w:b/>
        </w:rPr>
      </w:pP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  <w:t xml:space="preserve">    </w:t>
      </w:r>
      <w:proofErr w:type="spellStart"/>
      <w:r w:rsidRPr="00B53D7E">
        <w:rPr>
          <w:rFonts w:ascii="Times New Roman" w:hAnsi="Times New Roman" w:cs="Times New Roman"/>
          <w:b/>
        </w:rPr>
        <w:t>Ünva</w:t>
      </w:r>
      <w:bookmarkStart w:id="1" w:name="_GoBack"/>
      <w:bookmarkEnd w:id="1"/>
      <w:r w:rsidRPr="00B53D7E">
        <w:rPr>
          <w:rFonts w:ascii="Times New Roman" w:hAnsi="Times New Roman" w:cs="Times New Roman"/>
          <w:b/>
        </w:rPr>
        <w:t>nı</w:t>
      </w:r>
      <w:proofErr w:type="spellEnd"/>
    </w:p>
    <w:p w:rsidR="00D53D00" w:rsidRPr="00B53D7E" w:rsidRDefault="00D53D00" w:rsidP="00D53D00">
      <w:pPr>
        <w:spacing w:after="0"/>
        <w:rPr>
          <w:rFonts w:ascii="Times New Roman" w:hAnsi="Times New Roman" w:cs="Times New Roman"/>
          <w:b/>
        </w:rPr>
      </w:pP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</w:r>
      <w:r w:rsidRPr="00B53D7E">
        <w:rPr>
          <w:rFonts w:ascii="Times New Roman" w:hAnsi="Times New Roman" w:cs="Times New Roman"/>
          <w:b/>
        </w:rPr>
        <w:tab/>
        <w:t xml:space="preserve">     İMZA</w:t>
      </w:r>
    </w:p>
    <w:sectPr w:rsidR="00D53D00" w:rsidRPr="00B53D7E" w:rsidSect="007D0439">
      <w:pgSz w:w="11906" w:h="16838" w:code="9"/>
      <w:pgMar w:top="1134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95"/>
    <w:rsid w:val="00070C75"/>
    <w:rsid w:val="000E38EB"/>
    <w:rsid w:val="001512EF"/>
    <w:rsid w:val="002178E8"/>
    <w:rsid w:val="004A135E"/>
    <w:rsid w:val="00526C42"/>
    <w:rsid w:val="007D0439"/>
    <w:rsid w:val="0088243A"/>
    <w:rsid w:val="00B53D7E"/>
    <w:rsid w:val="00B60222"/>
    <w:rsid w:val="00CB2FEC"/>
    <w:rsid w:val="00D266AE"/>
    <w:rsid w:val="00D53D00"/>
    <w:rsid w:val="00D97195"/>
    <w:rsid w:val="00D975E1"/>
    <w:rsid w:val="00DA1D3F"/>
    <w:rsid w:val="00E82185"/>
    <w:rsid w:val="00E83851"/>
    <w:rsid w:val="00EE5F19"/>
    <w:rsid w:val="00F6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95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D97195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D97195"/>
    <w:rPr>
      <w:rFonts w:ascii="Cambria" w:hAnsi="Cambria"/>
      <w:b/>
      <w:color w:val="365F91" w:themeColor="accent1" w:themeShade="BF"/>
      <w:sz w:val="28"/>
    </w:rPr>
  </w:style>
  <w:style w:type="table" w:styleId="TabloKlavuzu">
    <w:name w:val="Table Grid"/>
    <w:basedOn w:val="NormalTablo"/>
    <w:uiPriority w:val="59"/>
    <w:rsid w:val="00D9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95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D97195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D97195"/>
    <w:rPr>
      <w:rFonts w:ascii="Cambria" w:hAnsi="Cambria"/>
      <w:b/>
      <w:color w:val="365F91" w:themeColor="accent1" w:themeShade="BF"/>
      <w:sz w:val="28"/>
    </w:rPr>
  </w:style>
  <w:style w:type="table" w:styleId="TabloKlavuzu">
    <w:name w:val="Table Grid"/>
    <w:basedOn w:val="NormalTablo"/>
    <w:uiPriority w:val="59"/>
    <w:rsid w:val="00D9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SARIKAYA</dc:creator>
  <cp:lastModifiedBy>Ferhat BAYGÜL</cp:lastModifiedBy>
  <cp:revision>3</cp:revision>
  <dcterms:created xsi:type="dcterms:W3CDTF">2019-01-21T13:49:00Z</dcterms:created>
  <dcterms:modified xsi:type="dcterms:W3CDTF">2019-01-21T13:52:00Z</dcterms:modified>
</cp:coreProperties>
</file>