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583"/>
        <w:gridCol w:w="4489"/>
      </w:tblGrid>
      <w:tr w:rsidR="00D5473F" w:rsidRPr="00D5473F" w:rsidTr="00D5473F">
        <w:trPr>
          <w:trHeight w:val="1275"/>
          <w:tblCellSpacing w:w="0" w:type="dxa"/>
        </w:trPr>
        <w:tc>
          <w:tcPr>
            <w:tcW w:w="0" w:type="auto"/>
            <w:gridSpan w:val="2"/>
            <w:vAlign w:val="center"/>
            <w:hideMark/>
          </w:tcPr>
          <w:p w:rsidR="00D5473F" w:rsidRPr="00D5473F" w:rsidRDefault="00D5473F" w:rsidP="00D547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73F">
              <w:rPr>
                <w:rFonts w:ascii="Times New Roman" w:eastAsia="Times New Roman" w:hAnsi="Times New Roman" w:cs="Times New Roman"/>
                <w:b/>
                <w:bCs/>
                <w:sz w:val="24"/>
                <w:szCs w:val="24"/>
                <w:lang w:eastAsia="tr-TR"/>
              </w:rPr>
              <w:t xml:space="preserve">Hasan GÜZELİ (C- 4/05) KARARI (26.10.2006) </w:t>
            </w:r>
          </w:p>
        </w:tc>
      </w:tr>
      <w:tr w:rsidR="00D5473F" w:rsidRPr="00D5473F" w:rsidTr="00D5473F">
        <w:trPr>
          <w:trHeight w:val="570"/>
          <w:tblCellSpacing w:w="0" w:type="dxa"/>
        </w:trPr>
        <w:tc>
          <w:tcPr>
            <w:tcW w:w="3750" w:type="dxa"/>
            <w:hideMark/>
          </w:tcPr>
          <w:p w:rsidR="00D5473F" w:rsidRPr="00D5473F" w:rsidRDefault="00D5473F" w:rsidP="00D5473F">
            <w:pPr>
              <w:spacing w:beforeAutospacing="1" w:after="100" w:afterAutospacing="1" w:line="240" w:lineRule="auto"/>
              <w:rPr>
                <w:rFonts w:ascii="Times New Roman" w:eastAsia="Times New Roman" w:hAnsi="Times New Roman" w:cs="Times New Roman"/>
                <w:sz w:val="24"/>
                <w:szCs w:val="24"/>
                <w:lang w:eastAsia="tr-TR"/>
              </w:rPr>
            </w:pPr>
            <w:r w:rsidRPr="00D5473F">
              <w:rPr>
                <w:rFonts w:ascii="Times New Roman" w:eastAsia="Times New Roman" w:hAnsi="Times New Roman" w:cs="Times New Roman"/>
                <w:sz w:val="24"/>
                <w:szCs w:val="24"/>
                <w:u w:val="single"/>
                <w:lang w:eastAsia="tr-TR"/>
              </w:rPr>
              <w:t>Davalı</w:t>
            </w:r>
          </w:p>
        </w:tc>
        <w:tc>
          <w:tcPr>
            <w:tcW w:w="4185" w:type="dxa"/>
            <w:hideMark/>
          </w:tcPr>
          <w:p w:rsidR="00D5473F" w:rsidRPr="00D5473F" w:rsidRDefault="00D5473F" w:rsidP="00D5473F">
            <w:pPr>
              <w:spacing w:before="100" w:beforeAutospacing="1" w:after="100" w:afterAutospacing="1" w:line="240" w:lineRule="auto"/>
              <w:rPr>
                <w:rFonts w:ascii="Times New Roman" w:eastAsia="Times New Roman" w:hAnsi="Times New Roman" w:cs="Times New Roman"/>
                <w:sz w:val="24"/>
                <w:szCs w:val="24"/>
                <w:lang w:eastAsia="tr-TR"/>
              </w:rPr>
            </w:pPr>
            <w:r w:rsidRPr="00D5473F">
              <w:rPr>
                <w:rFonts w:ascii="Times New Roman" w:eastAsia="Times New Roman" w:hAnsi="Times New Roman" w:cs="Times New Roman"/>
                <w:sz w:val="24"/>
                <w:szCs w:val="24"/>
                <w:lang w:eastAsia="tr-TR"/>
              </w:rPr>
              <w:t xml:space="preserve">Aachen Şehri Belediye Başkanı / F. Almanya </w:t>
            </w:r>
          </w:p>
        </w:tc>
      </w:tr>
      <w:tr w:rsidR="00D5473F" w:rsidRPr="00D5473F" w:rsidTr="00D5473F">
        <w:trPr>
          <w:trHeight w:val="555"/>
          <w:tblCellSpacing w:w="0" w:type="dxa"/>
        </w:trPr>
        <w:tc>
          <w:tcPr>
            <w:tcW w:w="0" w:type="auto"/>
            <w:hideMark/>
          </w:tcPr>
          <w:p w:rsidR="00D5473F" w:rsidRPr="00D5473F" w:rsidRDefault="00D5473F" w:rsidP="00D5473F">
            <w:pPr>
              <w:spacing w:beforeAutospacing="1" w:after="100" w:afterAutospacing="1" w:line="240" w:lineRule="auto"/>
              <w:rPr>
                <w:rFonts w:ascii="Times New Roman" w:eastAsia="Times New Roman" w:hAnsi="Times New Roman" w:cs="Times New Roman"/>
                <w:sz w:val="24"/>
                <w:szCs w:val="24"/>
                <w:lang w:eastAsia="tr-TR"/>
              </w:rPr>
            </w:pPr>
            <w:r w:rsidRPr="00D5473F">
              <w:rPr>
                <w:rFonts w:ascii="Times New Roman" w:eastAsia="Times New Roman" w:hAnsi="Times New Roman" w:cs="Times New Roman"/>
                <w:sz w:val="24"/>
                <w:szCs w:val="24"/>
                <w:u w:val="single"/>
                <w:lang w:eastAsia="tr-TR"/>
              </w:rPr>
              <w:t xml:space="preserve">İlgili Ortaklık Huk.Hükümleri </w:t>
            </w:r>
          </w:p>
        </w:tc>
        <w:tc>
          <w:tcPr>
            <w:tcW w:w="0" w:type="auto"/>
            <w:vAlign w:val="center"/>
            <w:hideMark/>
          </w:tcPr>
          <w:p w:rsidR="00D5473F" w:rsidRPr="00D5473F" w:rsidRDefault="00D5473F" w:rsidP="00D5473F">
            <w:pPr>
              <w:spacing w:before="100" w:beforeAutospacing="1" w:after="100" w:afterAutospacing="1" w:line="240" w:lineRule="auto"/>
              <w:rPr>
                <w:rFonts w:ascii="Times New Roman" w:eastAsia="Times New Roman" w:hAnsi="Times New Roman" w:cs="Times New Roman"/>
                <w:sz w:val="24"/>
                <w:szCs w:val="24"/>
                <w:lang w:eastAsia="tr-TR"/>
              </w:rPr>
            </w:pPr>
            <w:r w:rsidRPr="00D5473F">
              <w:rPr>
                <w:rFonts w:ascii="Times New Roman" w:eastAsia="Times New Roman" w:hAnsi="Times New Roman" w:cs="Times New Roman"/>
                <w:sz w:val="24"/>
                <w:szCs w:val="24"/>
                <w:lang w:eastAsia="tr-TR"/>
              </w:rPr>
              <w:t xml:space="preserve">( 1/80 sayılı O.K.K. md. 10 (1) ) </w:t>
            </w:r>
          </w:p>
        </w:tc>
      </w:tr>
      <w:tr w:rsidR="00D5473F" w:rsidRPr="00D5473F" w:rsidTr="00D5473F">
        <w:trPr>
          <w:tblCellSpacing w:w="0" w:type="dxa"/>
        </w:trPr>
        <w:tc>
          <w:tcPr>
            <w:tcW w:w="0" w:type="auto"/>
            <w:gridSpan w:val="2"/>
            <w:vAlign w:val="center"/>
            <w:hideMark/>
          </w:tcPr>
          <w:p w:rsidR="00D5473F" w:rsidRPr="00D5473F" w:rsidRDefault="00D5473F" w:rsidP="00D5473F">
            <w:pPr>
              <w:spacing w:beforeAutospacing="1" w:after="100" w:afterAutospacing="1" w:line="240" w:lineRule="auto"/>
              <w:rPr>
                <w:rFonts w:ascii="Times New Roman" w:eastAsia="Times New Roman" w:hAnsi="Times New Roman" w:cs="Times New Roman"/>
                <w:sz w:val="24"/>
                <w:szCs w:val="24"/>
                <w:lang w:eastAsia="tr-TR"/>
              </w:rPr>
            </w:pPr>
            <w:r w:rsidRPr="00D5473F">
              <w:rPr>
                <w:rFonts w:ascii="Times New Roman" w:eastAsia="Times New Roman" w:hAnsi="Times New Roman" w:cs="Times New Roman"/>
                <w:b/>
                <w:bCs/>
                <w:sz w:val="24"/>
                <w:szCs w:val="24"/>
                <w:u w:val="single"/>
                <w:lang w:eastAsia="tr-TR"/>
              </w:rPr>
              <w:t xml:space="preserve">Dava Konusu: </w:t>
            </w:r>
          </w:p>
          <w:p w:rsidR="00D5473F" w:rsidRPr="00D5473F" w:rsidRDefault="00D5473F" w:rsidP="00D5473F">
            <w:pPr>
              <w:spacing w:before="100" w:beforeAutospacing="1" w:after="100" w:afterAutospacing="1" w:line="240" w:lineRule="auto"/>
              <w:rPr>
                <w:rFonts w:ascii="Times New Roman" w:eastAsia="Times New Roman" w:hAnsi="Times New Roman" w:cs="Times New Roman"/>
                <w:sz w:val="24"/>
                <w:szCs w:val="24"/>
                <w:lang w:eastAsia="tr-TR"/>
              </w:rPr>
            </w:pPr>
            <w:r w:rsidRPr="00D5473F">
              <w:rPr>
                <w:rFonts w:ascii="Times New Roman" w:eastAsia="Times New Roman" w:hAnsi="Times New Roman" w:cs="Times New Roman"/>
                <w:sz w:val="24"/>
                <w:szCs w:val="24"/>
                <w:lang w:eastAsia="tr-TR"/>
              </w:rPr>
              <w:t xml:space="preserve">Alman iş piyasasında yasal statüde belirli aralarla, hizmet sektöründe bir iş yerinde bir süre çalışan, sonra farklı bir işkolundaki (imalat) başka bir iş yerinde çalışmasını sürdüren bir Türk vatandaşının ikamet izninin, 1/80'in 6(2). maddesinde öngörülen "aynı işyerinde veya bunun mümkün olmadığı durumlarda yine aynı işkolunda bilfiil en az üç yıl çalışma şartını" yerine getirmeden başka iş kolunda çalışmaya başladığı iddiası ile ikamet izninin uzatılmamasına karşı itirazı. </w:t>
            </w:r>
          </w:p>
          <w:p w:rsidR="00D5473F" w:rsidRPr="00D5473F" w:rsidRDefault="00D5473F" w:rsidP="00D5473F">
            <w:pPr>
              <w:spacing w:before="100" w:beforeAutospacing="1" w:after="100" w:afterAutospacing="1" w:line="240" w:lineRule="auto"/>
              <w:rPr>
                <w:rFonts w:ascii="Times New Roman" w:eastAsia="Times New Roman" w:hAnsi="Times New Roman" w:cs="Times New Roman"/>
                <w:sz w:val="24"/>
                <w:szCs w:val="24"/>
                <w:lang w:eastAsia="tr-TR"/>
              </w:rPr>
            </w:pPr>
            <w:r w:rsidRPr="00D5473F">
              <w:rPr>
                <w:rFonts w:ascii="Times New Roman" w:eastAsia="Times New Roman" w:hAnsi="Times New Roman" w:cs="Times New Roman"/>
                <w:b/>
                <w:bCs/>
                <w:sz w:val="24"/>
                <w:szCs w:val="24"/>
                <w:u w:val="single"/>
                <w:lang w:eastAsia="tr-TR"/>
              </w:rPr>
              <w:t xml:space="preserve">Karar: </w:t>
            </w:r>
          </w:p>
          <w:p w:rsidR="00D5473F" w:rsidRPr="00D5473F" w:rsidRDefault="00D5473F" w:rsidP="00D5473F">
            <w:pPr>
              <w:spacing w:before="100" w:beforeAutospacing="1" w:after="100" w:afterAutospacing="1" w:line="240" w:lineRule="auto"/>
              <w:rPr>
                <w:rFonts w:ascii="Times New Roman" w:eastAsia="Times New Roman" w:hAnsi="Times New Roman" w:cs="Times New Roman"/>
                <w:sz w:val="24"/>
                <w:szCs w:val="24"/>
                <w:lang w:eastAsia="tr-TR"/>
              </w:rPr>
            </w:pPr>
            <w:r w:rsidRPr="00D5473F">
              <w:rPr>
                <w:rFonts w:ascii="Times New Roman" w:eastAsia="Times New Roman" w:hAnsi="Times New Roman" w:cs="Times New Roman"/>
                <w:sz w:val="24"/>
                <w:szCs w:val="24"/>
                <w:lang w:eastAsia="tr-TR"/>
              </w:rPr>
              <w:t xml:space="preserve">Bir Türk işçisinin, 1/80 sayılı Ortaklık Konseyi Kararı'nın 6(1). maddesinin 1. fıkrası ile tanınan haklarını yasal dayanak olarak değerlendirebilmesi için, onun, ikinci bir işveren nezdinde girdiği ücretli işinin, ev sahibi üye ülke'nin topraklarına giriş ve istihdamı düzenleyen kanun ve tüzüklerle uyumlu olması gerekir. 1/80'in 6(1). maddesinin 2. fıkrasında yer alan 3 yıllık çalışma süresinin sona ermesinden önce işverenini değiştiren bir Türk işçisinin bu kapsama girip girmediği hususunu tespite yönelik incelemeleri yapma yetkisi ulusal mahkemelere aittir. </w:t>
            </w:r>
          </w:p>
          <w:p w:rsidR="00D5473F" w:rsidRPr="00D5473F" w:rsidRDefault="00D5473F" w:rsidP="00D5473F">
            <w:pPr>
              <w:spacing w:before="100" w:beforeAutospacing="1" w:after="100" w:afterAutospacing="1" w:line="240" w:lineRule="auto"/>
              <w:rPr>
                <w:rFonts w:ascii="Times New Roman" w:eastAsia="Times New Roman" w:hAnsi="Times New Roman" w:cs="Times New Roman"/>
                <w:sz w:val="24"/>
                <w:szCs w:val="24"/>
                <w:lang w:eastAsia="tr-TR"/>
              </w:rPr>
            </w:pPr>
            <w:r w:rsidRPr="00D5473F">
              <w:rPr>
                <w:rFonts w:ascii="Times New Roman" w:eastAsia="Times New Roman" w:hAnsi="Times New Roman" w:cs="Times New Roman"/>
                <w:sz w:val="24"/>
                <w:szCs w:val="24"/>
                <w:lang w:eastAsia="tr-TR"/>
              </w:rPr>
              <w:t xml:space="preserve">1/80'in 6(2). maddesi, yasal çalışma esnasında, kişinin iradesi dışında ortaya çıkan işsizlik ve uzun süreli hastalıktan kaynaklanan kesinti sürelerinin, Türk işçisinin madde 6(1)'in 3 ayrı fıkrasında, sırasıyla belirtilen daha önceki çalışma sürelerine bağlı olarak kazanmış olduğu hakları etkilemediği hususunu garanti altına almayı amaçlamaktadır. </w:t>
            </w:r>
          </w:p>
        </w:tc>
      </w:tr>
    </w:tbl>
    <w:p w:rsidR="00210382" w:rsidRDefault="00210382">
      <w:bookmarkStart w:id="0" w:name="_GoBack"/>
      <w:bookmarkEnd w:id="0"/>
    </w:p>
    <w:sectPr w:rsidR="00210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6E"/>
    <w:rsid w:val="00210382"/>
    <w:rsid w:val="00D5473F"/>
    <w:rsid w:val="00E162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B0C88-D912-494F-B05A-E1158E5B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547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54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640439">
      <w:bodyDiv w:val="1"/>
      <w:marLeft w:val="0"/>
      <w:marRight w:val="0"/>
      <w:marTop w:val="0"/>
      <w:marBottom w:val="0"/>
      <w:divBdr>
        <w:top w:val="none" w:sz="0" w:space="0" w:color="auto"/>
        <w:left w:val="none" w:sz="0" w:space="0" w:color="auto"/>
        <w:bottom w:val="none" w:sz="0" w:space="0" w:color="auto"/>
        <w:right w:val="none" w:sz="0" w:space="0" w:color="auto"/>
      </w:divBdr>
      <w:divsChild>
        <w:div w:id="774010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0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9969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2018-02-07T08:42:00Z</dcterms:created>
  <dcterms:modified xsi:type="dcterms:W3CDTF">2018-02-07T08:42:00Z</dcterms:modified>
</cp:coreProperties>
</file>