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386"/>
        <w:gridCol w:w="4686"/>
      </w:tblGrid>
      <w:tr w:rsidR="000A21D6" w:rsidRPr="000A21D6" w:rsidTr="000A21D6">
        <w:trPr>
          <w:trHeight w:val="1275"/>
          <w:tblCellSpacing w:w="0" w:type="dxa"/>
        </w:trPr>
        <w:tc>
          <w:tcPr>
            <w:tcW w:w="0" w:type="auto"/>
            <w:gridSpan w:val="2"/>
            <w:vAlign w:val="center"/>
            <w:hideMark/>
          </w:tcPr>
          <w:p w:rsidR="000A21D6" w:rsidRPr="000A21D6" w:rsidRDefault="000A21D6" w:rsidP="000A2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21D6">
              <w:rPr>
                <w:rFonts w:ascii="Times New Roman" w:eastAsia="Times New Roman" w:hAnsi="Times New Roman" w:cs="Times New Roman"/>
                <w:b/>
                <w:bCs/>
                <w:sz w:val="24"/>
                <w:szCs w:val="24"/>
                <w:lang w:eastAsia="tr-TR"/>
              </w:rPr>
              <w:t>Hava GENÇ Kararı (C-14/09 sayılı ve 04/02/2010 tarihli)</w:t>
            </w:r>
          </w:p>
        </w:tc>
      </w:tr>
      <w:tr w:rsidR="000A21D6" w:rsidRPr="000A21D6" w:rsidTr="000A21D6">
        <w:trPr>
          <w:trHeight w:val="285"/>
          <w:tblCellSpacing w:w="0" w:type="dxa"/>
        </w:trPr>
        <w:tc>
          <w:tcPr>
            <w:tcW w:w="3690" w:type="dxa"/>
            <w:hideMark/>
          </w:tcPr>
          <w:p w:rsidR="000A21D6" w:rsidRPr="000A21D6" w:rsidRDefault="000A21D6" w:rsidP="000A21D6">
            <w:pPr>
              <w:spacing w:after="0" w:line="240" w:lineRule="auto"/>
              <w:rPr>
                <w:rFonts w:ascii="Times New Roman" w:eastAsia="Times New Roman" w:hAnsi="Times New Roman" w:cs="Times New Roman"/>
                <w:sz w:val="24"/>
                <w:szCs w:val="24"/>
                <w:lang w:eastAsia="tr-TR"/>
              </w:rPr>
            </w:pPr>
            <w:r w:rsidRPr="000A21D6">
              <w:rPr>
                <w:rFonts w:ascii="Times New Roman" w:eastAsia="Times New Roman" w:hAnsi="Times New Roman" w:cs="Times New Roman"/>
                <w:sz w:val="24"/>
                <w:szCs w:val="24"/>
                <w:lang w:eastAsia="tr-TR"/>
              </w:rPr>
              <w:t> </w:t>
            </w:r>
          </w:p>
        </w:tc>
        <w:tc>
          <w:tcPr>
            <w:tcW w:w="4245" w:type="dxa"/>
            <w:hideMark/>
          </w:tcPr>
          <w:p w:rsidR="000A21D6" w:rsidRPr="000A21D6" w:rsidRDefault="000A21D6" w:rsidP="000A21D6">
            <w:pPr>
              <w:spacing w:after="0" w:line="240" w:lineRule="auto"/>
              <w:rPr>
                <w:rFonts w:ascii="Times New Roman" w:eastAsia="Times New Roman" w:hAnsi="Times New Roman" w:cs="Times New Roman"/>
                <w:sz w:val="24"/>
                <w:szCs w:val="24"/>
                <w:lang w:eastAsia="tr-TR"/>
              </w:rPr>
            </w:pPr>
            <w:r w:rsidRPr="000A21D6">
              <w:rPr>
                <w:rFonts w:ascii="Times New Roman" w:eastAsia="Times New Roman" w:hAnsi="Times New Roman" w:cs="Times New Roman"/>
                <w:sz w:val="24"/>
                <w:szCs w:val="24"/>
                <w:lang w:eastAsia="tr-TR"/>
              </w:rPr>
              <w:t> </w:t>
            </w:r>
          </w:p>
        </w:tc>
      </w:tr>
      <w:tr w:rsidR="000A21D6" w:rsidRPr="000A21D6" w:rsidTr="000A21D6">
        <w:trPr>
          <w:trHeight w:val="285"/>
          <w:tblCellSpacing w:w="0" w:type="dxa"/>
        </w:trPr>
        <w:tc>
          <w:tcPr>
            <w:tcW w:w="0" w:type="auto"/>
            <w:hideMark/>
          </w:tcPr>
          <w:p w:rsidR="000A21D6" w:rsidRPr="000A21D6" w:rsidRDefault="000A21D6" w:rsidP="000A21D6">
            <w:pPr>
              <w:spacing w:after="0" w:line="240" w:lineRule="auto"/>
              <w:rPr>
                <w:rFonts w:ascii="Times New Roman" w:eastAsia="Times New Roman" w:hAnsi="Times New Roman" w:cs="Times New Roman"/>
                <w:sz w:val="24"/>
                <w:szCs w:val="24"/>
                <w:lang w:eastAsia="tr-TR"/>
              </w:rPr>
            </w:pPr>
            <w:r w:rsidRPr="000A21D6">
              <w:rPr>
                <w:rFonts w:ascii="Times New Roman" w:eastAsia="Times New Roman" w:hAnsi="Times New Roman" w:cs="Times New Roman"/>
                <w:sz w:val="24"/>
                <w:szCs w:val="24"/>
                <w:lang w:eastAsia="tr-TR"/>
              </w:rPr>
              <w:t> </w:t>
            </w:r>
          </w:p>
        </w:tc>
        <w:tc>
          <w:tcPr>
            <w:tcW w:w="0" w:type="auto"/>
            <w:vAlign w:val="center"/>
            <w:hideMark/>
          </w:tcPr>
          <w:p w:rsidR="000A21D6" w:rsidRPr="000A21D6" w:rsidRDefault="000A21D6" w:rsidP="000A21D6">
            <w:pPr>
              <w:spacing w:after="0" w:line="240" w:lineRule="auto"/>
              <w:rPr>
                <w:rFonts w:ascii="Times New Roman" w:eastAsia="Times New Roman" w:hAnsi="Times New Roman" w:cs="Times New Roman"/>
                <w:sz w:val="24"/>
                <w:szCs w:val="24"/>
                <w:lang w:eastAsia="tr-TR"/>
              </w:rPr>
            </w:pPr>
            <w:r w:rsidRPr="000A21D6">
              <w:rPr>
                <w:rFonts w:ascii="Times New Roman" w:eastAsia="Times New Roman" w:hAnsi="Times New Roman" w:cs="Times New Roman"/>
                <w:sz w:val="24"/>
                <w:szCs w:val="24"/>
                <w:lang w:eastAsia="tr-TR"/>
              </w:rPr>
              <w:t> </w:t>
            </w:r>
          </w:p>
        </w:tc>
      </w:tr>
      <w:tr w:rsidR="000A21D6" w:rsidRPr="000A21D6" w:rsidTr="000A21D6">
        <w:trPr>
          <w:tblCellSpacing w:w="0" w:type="dxa"/>
        </w:trPr>
        <w:tc>
          <w:tcPr>
            <w:tcW w:w="0" w:type="auto"/>
            <w:gridSpan w:val="2"/>
            <w:vAlign w:val="center"/>
            <w:hideMark/>
          </w:tcPr>
          <w:p w:rsidR="000A21D6" w:rsidRPr="000A21D6" w:rsidRDefault="000A21D6" w:rsidP="000A21D6">
            <w:pPr>
              <w:spacing w:beforeAutospacing="1" w:after="100" w:afterAutospacing="1" w:line="240" w:lineRule="auto"/>
              <w:jc w:val="both"/>
              <w:rPr>
                <w:rFonts w:ascii="Times New Roman" w:eastAsia="Times New Roman" w:hAnsi="Times New Roman" w:cs="Times New Roman"/>
                <w:sz w:val="24"/>
                <w:szCs w:val="24"/>
                <w:lang w:eastAsia="tr-TR"/>
              </w:rPr>
            </w:pPr>
            <w:r w:rsidRPr="000A21D6">
              <w:rPr>
                <w:rFonts w:ascii="Times New Roman" w:eastAsia="Times New Roman" w:hAnsi="Times New Roman" w:cs="Times New Roman"/>
                <w:sz w:val="24"/>
                <w:szCs w:val="24"/>
                <w:lang w:eastAsia="tr-TR"/>
              </w:rPr>
              <w:t> </w:t>
            </w:r>
          </w:p>
          <w:p w:rsidR="000A21D6" w:rsidRPr="000A21D6" w:rsidRDefault="000A21D6" w:rsidP="000A21D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0A21D6">
              <w:rPr>
                <w:rFonts w:ascii="Times New Roman" w:eastAsia="Times New Roman" w:hAnsi="Times New Roman" w:cs="Times New Roman"/>
                <w:b/>
                <w:bCs/>
                <w:sz w:val="24"/>
                <w:szCs w:val="24"/>
                <w:u w:val="single"/>
                <w:lang w:eastAsia="tr-TR"/>
              </w:rPr>
              <w:t xml:space="preserve">Dava Konusu: </w:t>
            </w:r>
          </w:p>
          <w:p w:rsidR="000A21D6" w:rsidRPr="000A21D6" w:rsidRDefault="000A21D6" w:rsidP="000A21D6">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0A21D6">
              <w:rPr>
                <w:rFonts w:ascii="Times New Roman" w:eastAsia="Times New Roman" w:hAnsi="Times New Roman" w:cs="Times New Roman"/>
                <w:sz w:val="24"/>
                <w:szCs w:val="24"/>
                <w:lang w:eastAsia="tr-TR"/>
              </w:rPr>
              <w:t> </w:t>
            </w:r>
          </w:p>
          <w:p w:rsidR="000A21D6" w:rsidRPr="000A21D6" w:rsidRDefault="000A21D6" w:rsidP="000A21D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A21D6">
              <w:rPr>
                <w:rFonts w:ascii="Times New Roman" w:eastAsia="Times New Roman" w:hAnsi="Times New Roman" w:cs="Times New Roman"/>
                <w:sz w:val="24"/>
                <w:szCs w:val="24"/>
                <w:lang w:eastAsia="tr-TR"/>
              </w:rPr>
              <w:t xml:space="preserve">Hava GENÇ isimli vatandaşımız, 7 Temmuz 2000 tarihinde Aile Birleşimi Yasası çerçevesinde vizeyle Almanya’ya gelmiştir. Önce ikamet izni ardından süresiz çalışma izni almıştır. 12 Ocak 2004 tarihine kadar birlikte yaşayan çift ayrılınca, ilgili makamlar Hava GENÇ’e 1 Ağustos 2005 tarihi itibarıyla Aile Birleşimi Yasası dolayısıyla 2 yıllık ikamet izni vermişlerdir. Hava GENÇ,  8 Haziran 2004 tarihinden bu yana bir temizlik şirketinde haftada 5.5 saat olmak üzere 7.87 Avro saat ücretiyle çalışmaya başlamıştır. 7 Ağustos 2007 tarihinde ikamet izninin uzatılması için başvuruda bulunmuştur. Bu sırada gelirinin yanı sıra sosyal yardım da alan Hava GENÇ, 2008 yılının Mayıs ayında kendi isteğiyle bu yardımdan vazgeçmiştir. Berlin Bölge İdaresi 4 Şubat 2008 tarihinde ikamet izninin uzatılmasını reddetmiştir. Bu idari makama göre, Hava GENÇ, 1/80 sayılı Kararın 6. maddesindeki koşulları tam olarak sağlamamaktadır. Berlin Bölge İdaresi, sınırlı saatle çalıştığı için Hava GENÇ’in yasal istihdamda olduğunu düşünmemektedir. Hava Genç, 22 Şubat 2008 tarihinde Berlin İdari Mahkemesine başvurmuştur. Bayan GENÇ, daha sonra 30 Nisan 2008 tarihli ve    2 Mayıs 2008 tarihinden itibaren geçerli olmak üzere, ofis yardımcısı olarak haftada 25 saat ve 422 Avro net maaşla çalışacağını belirten iş akdini Mahkemeye sunmuştur. Bunun üzerine, Berlin İdari Mahkemesi, nihai kararını vermeden önce ön karar talebiyle davayı Avrupa Birliği Adalet Divanı’na intikal ettirmiştir. </w:t>
            </w:r>
          </w:p>
          <w:p w:rsidR="000A21D6" w:rsidRPr="000A21D6" w:rsidRDefault="000A21D6" w:rsidP="000A21D6">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0A21D6" w:rsidRPr="000A21D6" w:rsidRDefault="000A21D6" w:rsidP="000A21D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A21D6">
              <w:rPr>
                <w:rFonts w:ascii="Times New Roman" w:eastAsia="Times New Roman" w:hAnsi="Times New Roman" w:cs="Times New Roman"/>
                <w:b/>
                <w:bCs/>
                <w:sz w:val="24"/>
                <w:szCs w:val="24"/>
                <w:u w:val="single"/>
                <w:lang w:eastAsia="tr-TR"/>
              </w:rPr>
              <w:t>ABAD’ın Kararı:</w:t>
            </w:r>
          </w:p>
          <w:p w:rsidR="000A21D6" w:rsidRPr="000A21D6" w:rsidRDefault="000A21D6" w:rsidP="000A21D6">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0A21D6">
              <w:rPr>
                <w:rFonts w:ascii="Times New Roman" w:eastAsia="Times New Roman" w:hAnsi="Times New Roman" w:cs="Times New Roman"/>
                <w:sz w:val="24"/>
                <w:szCs w:val="24"/>
                <w:lang w:eastAsia="tr-TR"/>
              </w:rPr>
              <w:t> </w:t>
            </w:r>
          </w:p>
          <w:p w:rsidR="000A21D6" w:rsidRPr="000A21D6" w:rsidRDefault="000A21D6" w:rsidP="000A21D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A21D6">
              <w:rPr>
                <w:rFonts w:ascii="Times New Roman" w:eastAsia="Times New Roman" w:hAnsi="Times New Roman" w:cs="Times New Roman"/>
                <w:sz w:val="24"/>
                <w:szCs w:val="24"/>
                <w:lang w:eastAsia="tr-TR"/>
              </w:rPr>
              <w:t xml:space="preserve">“Avrupa Ekonomik Topluluğu ile Türkiye arasında ortaklık kuran Sözleşme ile oluşturulan Ortaklık Konseyi tarafından kabul edilen ortaklığın geliştirilmesine ilişkin 19 Eylül 1980 tarihli 1/80 sayılı Kararın 6. maddesinin 1. paragrafı anlamında, bu davadaki durumla karşı karşıya bulunan bir kişi, istihdamın gerçek ve sahici olması şartıyla işçidir. Ulusal mahkeme, davayla ilgili gerekli araştırmaları yapar. </w:t>
            </w:r>
          </w:p>
          <w:p w:rsidR="000A21D6" w:rsidRPr="000A21D6" w:rsidRDefault="000A21D6" w:rsidP="000A21D6">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0A21D6">
              <w:rPr>
                <w:rFonts w:ascii="Times New Roman" w:eastAsia="Times New Roman" w:hAnsi="Times New Roman" w:cs="Times New Roman"/>
                <w:sz w:val="24"/>
                <w:szCs w:val="24"/>
                <w:lang w:eastAsia="tr-TR"/>
              </w:rPr>
              <w:t> </w:t>
            </w:r>
          </w:p>
          <w:p w:rsidR="000A21D6" w:rsidRPr="000A21D6" w:rsidRDefault="000A21D6" w:rsidP="000A21D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A21D6">
              <w:rPr>
                <w:rFonts w:ascii="Times New Roman" w:eastAsia="Times New Roman" w:hAnsi="Times New Roman" w:cs="Times New Roman"/>
                <w:sz w:val="24"/>
                <w:szCs w:val="24"/>
                <w:lang w:eastAsia="tr-TR"/>
              </w:rPr>
              <w:t>1/80 sayılı Kararın 6. maddesinin 1. paragrafı anlamında, bir Türk işçisi, ev sahibi üye ülkeye girme nedeni ortadan kalksa bile, Avrupa Ekonomik Topluluğu ve Türkiye arasında Ortaklık kuran Anlaşma’dan kaynaklanan serbest dolaşım hakkına dayanabilir. Kararın 6 (1). maddesine dayanacak olan kişinin, ev sahibi üye ülkedeki ikamet hakkı, ikameti haklı kılabilecek çıkarların varlığı veya istihdamın doğası gereği ek koşullara bağlanamaz.”</w:t>
            </w:r>
          </w:p>
        </w:tc>
      </w:tr>
    </w:tbl>
    <w:p w:rsidR="00957106" w:rsidRDefault="00957106">
      <w:bookmarkStart w:id="0" w:name="_GoBack"/>
      <w:bookmarkEnd w:id="0"/>
    </w:p>
    <w:sectPr w:rsidR="00957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EB"/>
    <w:rsid w:val="000A21D6"/>
    <w:rsid w:val="00732EEB"/>
    <w:rsid w:val="00957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ABB61-27DC-47E7-99FD-B545179E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21D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071282">
      <w:bodyDiv w:val="1"/>
      <w:marLeft w:val="0"/>
      <w:marRight w:val="0"/>
      <w:marTop w:val="0"/>
      <w:marBottom w:val="0"/>
      <w:divBdr>
        <w:top w:val="none" w:sz="0" w:space="0" w:color="auto"/>
        <w:left w:val="none" w:sz="0" w:space="0" w:color="auto"/>
        <w:bottom w:val="none" w:sz="0" w:space="0" w:color="auto"/>
        <w:right w:val="none" w:sz="0" w:space="0" w:color="auto"/>
      </w:divBdr>
      <w:divsChild>
        <w:div w:id="374358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2018-02-07T08:43:00Z</dcterms:created>
  <dcterms:modified xsi:type="dcterms:W3CDTF">2018-02-07T08:43:00Z</dcterms:modified>
</cp:coreProperties>
</file>